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</w:pPr>
      <w:r>
        <w:t>Техническое задание на разработку Личного кабинета (далее «ЛК») для сайта rsalegal.ru (далее – «Сайт).</w:t>
      </w:r>
    </w:p>
    <w:p w14:paraId="04000000">
      <w:pPr>
        <w:pStyle w:val="Style_2"/>
      </w:pPr>
      <w:r>
        <w:t>Регистратор: reg.ru</w:t>
      </w:r>
    </w:p>
    <w:p w14:paraId="05000000">
      <w:pPr>
        <w:pStyle w:val="Style_2"/>
      </w:pPr>
      <w:r>
        <w:t>Хостинг и конструктор: Creatium.io</w:t>
      </w:r>
    </w:p>
    <w:p w14:paraId="06000000">
      <w:pPr>
        <w:pStyle w:val="Style_2"/>
      </w:pPr>
      <w:r>
        <w:t>CRM: Яндекс Трекер</w:t>
      </w:r>
    </w:p>
    <w:p w14:paraId="07000000">
      <w:pPr>
        <w:pStyle w:val="Style_2"/>
      </w:pPr>
      <w:r>
        <w:t>Сервер: Яндекс Диск</w:t>
      </w:r>
    </w:p>
    <w:p w14:paraId="08000000">
      <w:pPr>
        <w:pStyle w:val="Style_2"/>
      </w:pPr>
    </w:p>
    <w:p w14:paraId="09000000">
      <w:pPr>
        <w:pStyle w:val="Style_2"/>
      </w:pPr>
      <w:r>
        <w:t xml:space="preserve">Личный кабинет (далее – «ЛК») представляет собой интерфейс для более эффективного взаимодействия заказчика юридических услуг (далее – «Клиент») и нашей юридической компанией (далее – «Исполнитель»). </w:t>
      </w:r>
      <w:r>
        <w:t xml:space="preserve">Разрабатывать ЛК необходимо с заделом на возможную разработку синхронизируемых с ним приложений для iOS и Android, а также последующей автоматизации с использованием ИИ. </w:t>
      </w:r>
      <w:r>
        <w:t xml:space="preserve">Интерфейс должен быть дружелюбным и интуитивно понятным пользователю, далекому от программирования. </w:t>
      </w:r>
    </w:p>
    <w:p w14:paraId="0A000000">
      <w:pPr>
        <w:pStyle w:val="Style_2"/>
      </w:pPr>
    </w:p>
    <w:p w14:paraId="0B000000">
      <w:pPr>
        <w:pStyle w:val="Style_2"/>
      </w:pPr>
    </w:p>
    <w:p w14:paraId="0C000000">
      <w:pPr>
        <w:pStyle w:val="Style_2"/>
        <w:rPr>
          <w:b w:val="1"/>
        </w:rPr>
      </w:pPr>
      <w:r>
        <w:rPr>
          <w:b w:val="1"/>
        </w:rPr>
        <w:t>1. СТРАНИЦА РЕГИСТРАЦИИ ЛИЧНОГО КАБИНЕТА</w:t>
      </w:r>
    </w:p>
    <w:p w14:paraId="0D000000">
      <w:pPr>
        <w:pStyle w:val="Style_2"/>
      </w:pPr>
    </w:p>
    <w:p w14:paraId="0E000000">
      <w:pPr>
        <w:pStyle w:val="Style_2"/>
      </w:pPr>
      <w:r>
        <w:t xml:space="preserve">Все оказываемые нашей компанией услуги будут перечислены и подробно описаны в разделах на основном сайте компании </w:t>
      </w:r>
      <w:r>
        <w:rPr>
          <w:rStyle w:val="Style_3_ch"/>
        </w:rPr>
        <w:fldChar w:fldCharType="begin"/>
      </w:r>
      <w:r>
        <w:rPr>
          <w:rStyle w:val="Style_3_ch"/>
        </w:rPr>
        <w:instrText>HYPERLINK "http://www.rsalegal.ru"</w:instrText>
      </w:r>
      <w:r>
        <w:rPr>
          <w:rStyle w:val="Style_3_ch"/>
        </w:rPr>
        <w:fldChar w:fldCharType="separate"/>
      </w:r>
      <w:r>
        <w:rPr>
          <w:rStyle w:val="Style_3_ch"/>
        </w:rPr>
        <w:t>www.rsalegal.ru</w:t>
      </w:r>
      <w:r>
        <w:rPr>
          <w:rStyle w:val="Style_3_ch"/>
        </w:rPr>
        <w:fldChar w:fldCharType="end"/>
      </w:r>
      <w:r>
        <w:t>. Под каждой услугой будет находится кнопка «Заказать услугу», нажатие на которую будет приводить к появлению всплывающего окна. В нем будет предложено заказать обратный звонок, войти в личный кабинет или зарегистрировать его.</w:t>
      </w:r>
    </w:p>
    <w:p w14:paraId="0F000000">
      <w:pPr>
        <w:pStyle w:val="Style_2"/>
      </w:pPr>
    </w:p>
    <w:p w14:paraId="10000000">
      <w:pPr>
        <w:pStyle w:val="Style_2"/>
      </w:pPr>
      <w:r>
        <w:t xml:space="preserve">Если у клиента уже есть зарегистрированный личный кабинет, ему необходимо ввести ИНН и пароль, а затем ввести одноразовый пароль из смс-сообщения или письма на электронную почту (двухфакторная аутентификация). </w:t>
      </w:r>
    </w:p>
    <w:p w14:paraId="11000000">
      <w:pPr>
        <w:pStyle w:val="Style_2"/>
      </w:pPr>
    </w:p>
    <w:p w14:paraId="12000000">
      <w:pPr>
        <w:pStyle w:val="Style_2"/>
      </w:pPr>
      <w:r>
        <w:t>Если личного кабинета нет, его необходимо зарегистрировать. Нажатие на кнопку «Зарегистрироваться» приводит к переходу на страницу регистрации личного кабинета.</w:t>
      </w:r>
    </w:p>
    <w:p w14:paraId="13000000">
      <w:pPr>
        <w:pStyle w:val="Style_2"/>
      </w:pPr>
    </w:p>
    <w:p w14:paraId="14000000">
      <w:pPr>
        <w:pStyle w:val="Style_2"/>
      </w:pPr>
      <w:r>
        <w:t>В самом верху клиент должен выбрать «кружочком» (выбор только одного варианта, исключающего другие варианты) своего статуса, кем он является: юридическое лицо, индивидуальный предприниматель или физическое лицо.</w:t>
      </w:r>
    </w:p>
    <w:p w14:paraId="15000000">
      <w:pPr>
        <w:pStyle w:val="Style_2"/>
      </w:pPr>
    </w:p>
    <w:p w14:paraId="16000000">
      <w:pPr>
        <w:pStyle w:val="Style_2"/>
      </w:pPr>
      <w:r>
        <w:t>Личный кабинет должен быть интегрирован с размещенным в открытом доступе на сайте ФНС России ЕГРЮЛ и ЕГРИП. Для юридических лиц и индивидуальных предпринимателей, у</w:t>
      </w:r>
      <w:r>
        <w:t>казывая ИНН при регистрации личного кабинета, следующие сведения</w:t>
      </w:r>
      <w:r>
        <w:t xml:space="preserve"> подтягиваются автоматически из ЕГРЮЛ и ЕГРИП:</w:t>
      </w:r>
    </w:p>
    <w:p w14:paraId="17000000">
      <w:pPr>
        <w:pStyle w:val="Style_2"/>
        <w:numPr>
          <w:ilvl w:val="0"/>
          <w:numId w:val="1"/>
        </w:numPr>
      </w:pPr>
      <w:r>
        <w:t xml:space="preserve">полное и сокращенное наименование компании / ФИО индивидуального предпринимателя; </w:t>
      </w:r>
    </w:p>
    <w:p w14:paraId="18000000">
      <w:pPr>
        <w:pStyle w:val="Style_2"/>
        <w:numPr>
          <w:ilvl w:val="0"/>
          <w:numId w:val="1"/>
        </w:numPr>
      </w:pPr>
      <w:r>
        <w:t xml:space="preserve">ИНН, КПП, ОГРН/ОГРНИП; </w:t>
      </w:r>
    </w:p>
    <w:p w14:paraId="19000000">
      <w:pPr>
        <w:pStyle w:val="Style_2"/>
        <w:numPr>
          <w:ilvl w:val="0"/>
          <w:numId w:val="1"/>
        </w:numPr>
      </w:pPr>
      <w:r>
        <w:t xml:space="preserve">адрес местонахождения (для ИП вводится вручную клиентом); </w:t>
      </w:r>
    </w:p>
    <w:p w14:paraId="1A000000">
      <w:pPr>
        <w:pStyle w:val="Style_2"/>
        <w:numPr>
          <w:ilvl w:val="0"/>
          <w:numId w:val="1"/>
        </w:numPr>
      </w:pPr>
      <w:r>
        <w:t xml:space="preserve">дата присвоения ОГРН: </w:t>
      </w:r>
    </w:p>
    <w:p w14:paraId="1B000000">
      <w:pPr>
        <w:pStyle w:val="Style_2"/>
        <w:numPr>
          <w:ilvl w:val="0"/>
          <w:numId w:val="1"/>
        </w:numPr>
      </w:pPr>
      <w:r>
        <w:t xml:space="preserve">ФИО и наименование должности единоличного исполнительного органа (как правило, генерального директора, но эта должность может называться иначе: председатель правления, директор и т.п.); </w:t>
      </w:r>
    </w:p>
    <w:p w14:paraId="1C000000">
      <w:pPr>
        <w:pStyle w:val="Style_2"/>
        <w:numPr>
          <w:ilvl w:val="0"/>
          <w:numId w:val="1"/>
        </w:numPr>
      </w:pPr>
      <w:r>
        <w:t>ФИО всех участников (владельцев) компании с указанием размера номинальной стоимости долей и процентов от общего числа долей;</w:t>
      </w:r>
    </w:p>
    <w:p w14:paraId="1D000000">
      <w:pPr>
        <w:numPr>
          <w:ilvl w:val="0"/>
          <w:numId w:val="1"/>
        </w:numPr>
      </w:pPr>
      <w:r>
        <w:t xml:space="preserve">Перечень видов деятельности. </w:t>
      </w:r>
    </w:p>
    <w:p w14:paraId="1E000000">
      <w:pPr>
        <w:pStyle w:val="Style_2"/>
      </w:pPr>
    </w:p>
    <w:p w14:paraId="1F000000">
      <w:pPr>
        <w:pStyle w:val="Style_2"/>
      </w:pPr>
      <w:r>
        <w:t xml:space="preserve">Следующие данные клиент должен вводить самостоятельно: </w:t>
      </w:r>
    </w:p>
    <w:p w14:paraId="20000000">
      <w:pPr>
        <w:pStyle w:val="Style_2"/>
        <w:numPr>
          <w:numId w:val="2"/>
        </w:numPr>
      </w:pPr>
      <w:r>
        <w:t>реквизиты банковского счета (с возможностью добавления нескольких счетов и выбора, какой из них будет являться основным для указания в договоре и других документах);</w:t>
      </w:r>
    </w:p>
    <w:p w14:paraId="21000000">
      <w:pPr>
        <w:pStyle w:val="Style_2"/>
        <w:numPr>
          <w:numId w:val="2"/>
        </w:numPr>
      </w:pPr>
      <w:r>
        <w:t xml:space="preserve">ФИО одного или нескольких </w:t>
      </w:r>
      <w:r>
        <w:t>представителей компании</w:t>
      </w:r>
      <w:r>
        <w:t xml:space="preserve"> (присутствует кнопка «добавить» для добавления очередного представителя компании, а также кнопка «удалить» для возможности исключения неактуального или введенного ошибочно </w:t>
      </w:r>
      <w:r>
        <w:t>представителя</w:t>
      </w:r>
      <w:r>
        <w:t xml:space="preserve">) с возможностью прикрепления скан-копии доверенности на него. Данное поле не является обязательным, без его заполнения можно продвигаться дальше; </w:t>
      </w:r>
    </w:p>
    <w:p w14:paraId="22000000">
      <w:pPr>
        <w:numPr>
          <w:numId w:val="2"/>
        </w:numPr>
      </w:pPr>
      <w:r>
        <w:t xml:space="preserve">адрес электронной почты, </w:t>
      </w:r>
      <w:r>
        <w:t>мобильный телефон (для двухфакторной аутентификации).</w:t>
      </w:r>
    </w:p>
    <w:p w14:paraId="23000000">
      <w:pPr>
        <w:pStyle w:val="Style_2"/>
      </w:pPr>
    </w:p>
    <w:p w14:paraId="24000000">
      <w:pPr>
        <w:pStyle w:val="Style_2"/>
      </w:pPr>
      <w:r>
        <w:t xml:space="preserve">Для физического лица никакие данные ниоткуда автоматически подтянуться не могут. Поэтому их можно только ввести вручную. Клиенту будет необходимо вводить персональные данные. Поэтому важно учесть следующие нюансы: </w:t>
      </w:r>
    </w:p>
    <w:p w14:paraId="25000000">
      <w:pPr>
        <w:pStyle w:val="Style_2"/>
        <w:numPr>
          <w:numId w:val="3"/>
        </w:numPr>
      </w:pPr>
      <w:r>
        <w:t>обеспечить их безопасное хранение. Возможно, есть какие-то банки данных, которые предоставляют услугу по их хранению, а наш личный кабинет обращается к ним лишь по мере необходимости ну или что-то типа этого.</w:t>
      </w:r>
    </w:p>
    <w:p w14:paraId="26000000">
      <w:pPr>
        <w:pStyle w:val="Style_2"/>
        <w:numPr>
          <w:numId w:val="3"/>
        </w:numPr>
      </w:pPr>
      <w:r>
        <w:t>политика хранения и обработки персональных данных, не нарушающая действующее законодательство, которое будет разработано нами, а при регистрации личного кабинета и в самом личном кабинете предусмотрена возможность в любой момент ознакомиться с ними;</w:t>
      </w:r>
    </w:p>
    <w:p w14:paraId="27000000">
      <w:pPr>
        <w:pStyle w:val="Style_2"/>
        <w:numPr>
          <w:numId w:val="3"/>
        </w:numPr>
      </w:pPr>
      <w:r>
        <w:t xml:space="preserve">согласие на хранение и обработку персональных данных. </w:t>
      </w:r>
    </w:p>
    <w:p w14:paraId="28000000">
      <w:pPr>
        <w:pStyle w:val="Style_2"/>
      </w:pPr>
    </w:p>
    <w:p w14:paraId="29000000">
      <w:pPr>
        <w:pStyle w:val="Style_2"/>
      </w:pPr>
      <w:r>
        <w:t xml:space="preserve">Следующие персональные данные клиент – физическое лицо вводит при регистрации личного кабинета: </w:t>
      </w:r>
    </w:p>
    <w:p w14:paraId="2A000000">
      <w:pPr>
        <w:pStyle w:val="Style_2"/>
        <w:numPr>
          <w:numId w:val="4"/>
        </w:numPr>
      </w:pPr>
      <w:r>
        <w:t>ФИО;</w:t>
      </w:r>
    </w:p>
    <w:p w14:paraId="2B000000">
      <w:pPr>
        <w:pStyle w:val="Style_2"/>
        <w:numPr>
          <w:numId w:val="4"/>
        </w:numPr>
      </w:pPr>
      <w:r>
        <w:t xml:space="preserve">дата рождения; </w:t>
      </w:r>
    </w:p>
    <w:p w14:paraId="2C000000">
      <w:pPr>
        <w:pStyle w:val="Style_2"/>
        <w:numPr>
          <w:numId w:val="4"/>
        </w:numPr>
      </w:pPr>
      <w:r>
        <w:t xml:space="preserve">место рождения; </w:t>
      </w:r>
    </w:p>
    <w:p w14:paraId="2D000000">
      <w:pPr>
        <w:pStyle w:val="Style_2"/>
        <w:numPr>
          <w:numId w:val="4"/>
        </w:numPr>
      </w:pPr>
      <w:r>
        <w:t>пол (из выпадающего списка или выбор «кружочком»);</w:t>
      </w:r>
    </w:p>
    <w:p w14:paraId="2E000000">
      <w:pPr>
        <w:pStyle w:val="Style_2"/>
        <w:numPr>
          <w:numId w:val="4"/>
        </w:numPr>
      </w:pPr>
      <w:r>
        <w:t>гражданство</w:t>
      </w:r>
    </w:p>
    <w:p w14:paraId="2F000000">
      <w:pPr>
        <w:pStyle w:val="Style_2"/>
        <w:numPr>
          <w:numId w:val="4"/>
        </w:numPr>
      </w:pPr>
      <w:r>
        <w:t xml:space="preserve">адрес регистрации; </w:t>
      </w:r>
    </w:p>
    <w:p w14:paraId="30000000">
      <w:pPr>
        <w:pStyle w:val="Style_2"/>
        <w:numPr>
          <w:numId w:val="4"/>
        </w:numPr>
      </w:pPr>
      <w:r>
        <w:t xml:space="preserve">тип документа, удостоверяющего личность (выбор из выпадающего списка: паспорт гражданина РФ, загранпаспорт гражданина РФ, дипломатический паспорт; военный билет. </w:t>
      </w:r>
    </w:p>
    <w:p w14:paraId="31000000">
      <w:pPr>
        <w:pStyle w:val="Style_2"/>
        <w:numPr>
          <w:numId w:val="4"/>
        </w:numPr>
      </w:pPr>
      <w:r>
        <w:t xml:space="preserve">серия документа, удостоверяющего личность, дата его выдачи, наименование выдавшего органа. </w:t>
      </w:r>
    </w:p>
    <w:p w14:paraId="32000000">
      <w:pPr>
        <w:pStyle w:val="Style_2"/>
      </w:pPr>
    </w:p>
    <w:p w14:paraId="33000000">
      <w:pPr>
        <w:pStyle w:val="Style_2"/>
      </w:pPr>
      <w:r>
        <w:t xml:space="preserve">Пользователь при регистрации личного кабинета должен установить двухфакторную аутентификацию с отправкой одноразового цифирного пароля, который генерируется случайным образом и приходит клиенту на телефон или электронную почту. Установление двухфакторной аутентификации является обязательной для клиента. </w:t>
      </w:r>
    </w:p>
    <w:p w14:paraId="34000000">
      <w:pPr>
        <w:pStyle w:val="Style_2"/>
      </w:pPr>
    </w:p>
    <w:p w14:paraId="35000000">
      <w:pPr>
        <w:pStyle w:val="Style_2"/>
      </w:pPr>
      <w:r>
        <w:t>После каждого успешного входа в ЛК пользователю приходит оповещение о входе в ЛК на электронную почту и/или мобильный телефон, указанные при регистрации</w:t>
      </w:r>
    </w:p>
    <w:p w14:paraId="36000000">
      <w:pPr>
        <w:pStyle w:val="Style_2"/>
      </w:pPr>
    </w:p>
    <w:p w14:paraId="37000000">
      <w:pPr>
        <w:pStyle w:val="Style_2"/>
      </w:pPr>
      <w:r>
        <w:t>После регистрации личного кабинета, на указанный адрес электронной почты приходит электронное письмо с подтверждением регистрации, содержащее ссылку подтверждения регистрации. После перехода по ссылке, личный кабинет готов к работе.</w:t>
      </w:r>
    </w:p>
    <w:p w14:paraId="38000000">
      <w:pPr>
        <w:pStyle w:val="Style_2"/>
      </w:pPr>
    </w:p>
    <w:p w14:paraId="39000000">
      <w:pPr>
        <w:pStyle w:val="Style_2"/>
      </w:pPr>
      <w:r>
        <w:t xml:space="preserve">Регистрация личного кабинета должна будет приводить к: </w:t>
      </w:r>
    </w:p>
    <w:p w14:paraId="3A000000">
      <w:pPr>
        <w:pStyle w:val="Style_2"/>
        <w:numPr>
          <w:numId w:val="5"/>
        </w:numPr>
      </w:pPr>
      <w:r>
        <w:t>Созданию нового проекта в CRM-системе, название которого будет совпадать с наименованием или ФИО клиента и ИНН, зарегистрировавшего личный кабинет;</w:t>
      </w:r>
    </w:p>
    <w:p w14:paraId="3B000000">
      <w:pPr>
        <w:pStyle w:val="Style_2"/>
        <w:numPr>
          <w:numId w:val="5"/>
        </w:numPr>
        <w:rPr/>
      </w:pPr>
      <w:r>
        <w:t xml:space="preserve">Созданию на сервере папки, </w:t>
      </w:r>
      <w:r>
        <w:t xml:space="preserve">название которой будет совпадать с </w:t>
      </w:r>
      <w:r>
        <w:rPr/>
        <w:t xml:space="preserve">наименованием или ФИО клиента и ИНН, зарегистрировавшего личный кабинет. </w:t>
      </w:r>
    </w:p>
    <w:p w14:paraId="3C000000">
      <w:pPr>
        <w:pStyle w:val="Style_2"/>
        <w:rPr/>
      </w:pPr>
    </w:p>
    <w:p w14:paraId="3D000000">
      <w:pPr>
        <w:pStyle w:val="Style_2"/>
        <w:rPr/>
      </w:pPr>
    </w:p>
    <w:p w14:paraId="3E000000">
      <w:pPr>
        <w:pStyle w:val="Style_2"/>
        <w:rPr>
          <w:b w:val="1"/>
        </w:rPr>
      </w:pPr>
      <w:r>
        <w:rPr>
          <w:rStyle w:val="Style_2_ch"/>
          <w:b w:val="1"/>
        </w:rPr>
        <w:t>2. ГЛАВНАЯ СТРАНИЦА ЛИЧНОГО КАБИНЕТА</w:t>
      </w:r>
    </w:p>
    <w:p w14:paraId="3F000000">
      <w:pPr>
        <w:pStyle w:val="Style_2"/>
        <w:rPr/>
      </w:pPr>
    </w:p>
    <w:p w14:paraId="40000000">
      <w:pPr>
        <w:pStyle w:val="Style_2"/>
        <w:rPr/>
      </w:pPr>
      <w:r>
        <w:rPr/>
        <w:t xml:space="preserve">Главная страница личного кабинета должна отражать следующее: </w:t>
      </w:r>
    </w:p>
    <w:p w14:paraId="41000000">
      <w:pPr>
        <w:pStyle w:val="Style_2"/>
        <w:numPr>
          <w:numId w:val="6"/>
        </w:numPr>
        <w:rPr/>
      </w:pPr>
      <w:r>
        <w:rPr/>
        <w:t xml:space="preserve">Главное меню позволяющее перейти на одну из следующих страниц: </w:t>
      </w:r>
    </w:p>
    <w:p w14:paraId="42000000">
      <w:pPr>
        <w:pStyle w:val="Style_2"/>
        <w:numPr>
          <w:ilvl w:val="1"/>
          <w:numId w:val="6"/>
        </w:numPr>
        <w:rPr/>
      </w:pPr>
      <w:r>
        <w:rPr/>
        <w:t>Заказать услугу;</w:t>
      </w:r>
    </w:p>
    <w:p w14:paraId="43000000">
      <w:pPr>
        <w:pStyle w:val="Style_2"/>
        <w:numPr>
          <w:ilvl w:val="1"/>
          <w:numId w:val="6"/>
        </w:numPr>
      </w:pPr>
      <w:r>
        <w:rPr/>
        <w:t>Мои</w:t>
      </w:r>
      <w:r>
        <w:t xml:space="preserve"> услуги;</w:t>
      </w:r>
    </w:p>
    <w:p w14:paraId="44000000">
      <w:pPr>
        <w:pStyle w:val="Style_2"/>
        <w:numPr>
          <w:ilvl w:val="1"/>
          <w:numId w:val="6"/>
        </w:numPr>
      </w:pPr>
      <w:r>
        <w:t xml:space="preserve">Архив; </w:t>
      </w:r>
    </w:p>
    <w:p w14:paraId="45000000">
      <w:pPr>
        <w:pStyle w:val="Style_2"/>
        <w:numPr>
          <w:ilvl w:val="1"/>
          <w:numId w:val="6"/>
        </w:numPr>
      </w:pPr>
      <w:r>
        <w:t xml:space="preserve">Персональные данные. </w:t>
      </w:r>
    </w:p>
    <w:p w14:paraId="46000000">
      <w:pPr>
        <w:pStyle w:val="Style_2"/>
        <w:numPr>
          <w:numId w:val="6"/>
        </w:numPr>
      </w:pPr>
      <w:r>
        <w:t>Актуальный баланс денежных средств клиента на счете компании;</w:t>
      </w:r>
    </w:p>
    <w:p w14:paraId="47000000">
      <w:pPr>
        <w:pStyle w:val="Style_2"/>
        <w:numPr>
          <w:numId w:val="6"/>
        </w:numPr>
      </w:pPr>
      <w:r>
        <w:t xml:space="preserve">Поле для важных уведомлений клиента. </w:t>
      </w:r>
    </w:p>
    <w:p w14:paraId="48000000">
      <w:pPr>
        <w:pStyle w:val="Style_2"/>
      </w:pPr>
    </w:p>
    <w:p w14:paraId="49000000">
      <w:pPr>
        <w:pStyle w:val="Style_2"/>
      </w:pPr>
    </w:p>
    <w:p w14:paraId="4A000000">
      <w:pPr>
        <w:pStyle w:val="Style_2"/>
        <w:rPr>
          <w:b w:val="1"/>
        </w:rPr>
      </w:pPr>
      <w:r>
        <w:rPr>
          <w:b w:val="1"/>
        </w:rPr>
        <w:t>3. СТРАНИЦА «ЗАКАЗАТЬ УСЛУГУ»</w:t>
      </w:r>
    </w:p>
    <w:p w14:paraId="4B000000">
      <w:pPr>
        <w:pStyle w:val="Style_2"/>
      </w:pPr>
    </w:p>
    <w:p w14:paraId="4C000000">
      <w:pPr>
        <w:pStyle w:val="Style_2"/>
      </w:pPr>
      <w:r>
        <w:t>На странице «Заказать услугу» клиент заказывает услугу в несколько шагов. На первом шаге он может выбрать из перечня оказываемых нашей компанией юридических и консалтинговых услуг необходимую. Страница выглядит в виде «плитки», на каждой из которых присутствует наименование услуги, ее краткое описание и две кнопки: «Подробнее» и «Получить консультацию». Нажатие на кнопку «Подробнее» приводит к открытию новой вкладки с подробным описанием данной услуги на соответствующей странице основного сайта компании. Нажатие на кнопку «Получить консультацию» приводит к появлению всплывающего окна с возможностью указать мобильный телефон и имени, как можно обращаться к конкретному сотруднику (возможно, штатному юристу) клиента; и после заполнения и отправки мини-формы, приводит к отправке сообщения соответствующему сотруднику компании, который должен будет позвонить клиенту и проконсультировать его по услуге. У меня пока нет четкого понимания взаимодействия личного кабинета с CRM-системой, но по моему мнению этот шаг должен будет приводить к автоматическому созданию по шаблону соответствующей задачи для конкретного сотрудника и направлению ему уведомления о ее появлении письмом на его корпоративную почту.</w:t>
      </w:r>
    </w:p>
    <w:p w14:paraId="4D000000">
      <w:pPr>
        <w:pStyle w:val="Style_2"/>
      </w:pPr>
    </w:p>
    <w:p w14:paraId="4E000000">
      <w:pPr>
        <w:pStyle w:val="Style_2"/>
      </w:pPr>
      <w:r>
        <w:t xml:space="preserve">Клиент выбирает нужную услугу, после клика по ней в верхнем левом углу соответствующей «плитки» появляется «галочка», после чего активируется кнопка «далее». Нажимает активировавшуюся кнопку «далее» и переходит на следующую подвкладку (второй шаг). </w:t>
      </w:r>
    </w:p>
    <w:p w14:paraId="4F000000">
      <w:pPr>
        <w:pStyle w:val="Style_2"/>
      </w:pPr>
    </w:p>
    <w:p w14:paraId="50000000">
      <w:pPr>
        <w:pStyle w:val="Style_2"/>
      </w:pPr>
      <w:r>
        <w:t>На втором шаге присутствует текстовое пояснение, что клиенту необходимо описать фабулу его дела (настолько подробно, насколько он считает необходимым). Для этого будет присутствовать обширное поле для ввода текста. А также загрузить в систему все первичные документы, которые потребуются юристам для оказания данной услуги в виде файлов различных форматов (ворд, пдф, фотографии и т.п.). Ниже присутствует вопрос поле для постановки «флажка» радом с фразой «Я сообщил все сведения и предоставил все необходимые документы» (ну или что-то в этом роде), установка которого активирует кнопку «далее». Нажатие на кнопку «далее» приводит к созданию в CRM-системе задачи соответствующему сотруднику компании по «анализу предоставленных клиентом документов и формированию коммерческого предложения и проекта договора на оказание юридических услуг» и направлению сотруднику на корпоративную почту уведомления о появлении данной задачи. Отправленные клиентом документы автоматически загружаются на сервер в автоматически созданную папку с названием выбранной клиентом услуги, которая создается в основной папке клиента. Набранный клиентом текст формируется в вордовский файл «Фабула дела», который сохраняется в этой же папке.</w:t>
      </w:r>
    </w:p>
    <w:p w14:paraId="51000000">
      <w:pPr>
        <w:pStyle w:val="Style_2"/>
      </w:pPr>
    </w:p>
    <w:p w14:paraId="52000000">
      <w:pPr>
        <w:pStyle w:val="Style_2"/>
      </w:pPr>
      <w:r>
        <w:t xml:space="preserve">Клиент переходит к третьему шагу, надпись в котором гласит «Наш юрист анализирует предоставленные документы, ожидайте дальнейших действий» (или что-то в этом роде). После формирования сотрудником компании коммерческого предложения и проекта договора на оказание юридических услуг и загрузки данных документов в CRM-систему, они появляются в личном кабинете вместо упомянутой выше надписи. Ниже становятся активными две кнопки: </w:t>
      </w:r>
    </w:p>
    <w:p w14:paraId="53000000">
      <w:pPr>
        <w:pStyle w:val="Style_2"/>
        <w:numPr>
          <w:numId w:val="7"/>
        </w:numPr>
      </w:pPr>
      <w:r>
        <w:t xml:space="preserve">Согласиться. Нажатие на нее приводит к переходу на четвертый шаг. </w:t>
      </w:r>
    </w:p>
    <w:p w14:paraId="54000000">
      <w:pPr>
        <w:pStyle w:val="Style_2"/>
        <w:numPr>
          <w:numId w:val="7"/>
        </w:numPr>
      </w:pPr>
      <w:r>
        <w:t>Получить консультацию. Действия после нажатия на нее аналогичны уже описанным выше за одним исключением: если ранее клиент уже нажимал кнопку «получить консультацию» ему нет необходимости повторно заполнять мини-форму с именем и телефоном, эти данные уже сохранены в системе, и задача сотруднику «позвонить клиенту» создается в CRM-системе уже с использованием этих данных.</w:t>
      </w:r>
    </w:p>
    <w:p w14:paraId="55000000">
      <w:pPr>
        <w:pStyle w:val="Style_2"/>
      </w:pPr>
    </w:p>
    <w:p w14:paraId="56000000">
      <w:pPr>
        <w:pStyle w:val="Style_2"/>
      </w:pPr>
      <w:r>
        <w:t>Если клиент на этом этапе больше часа не предпринимает никаких действий, сотруднику нашей компании также автоматически создается задача позвонить клиенту, но с пометкой, что это не клиент просит нас позвонить ему, а отсутствует с его стороны активность после получения коммерческого предложения. Возможно, он решил отказаться, и его нужно «дожать».</w:t>
      </w:r>
    </w:p>
    <w:p w14:paraId="57000000">
      <w:pPr>
        <w:pStyle w:val="Style_2"/>
      </w:pPr>
    </w:p>
    <w:p w14:paraId="58000000">
      <w:pPr>
        <w:pStyle w:val="Style_2"/>
      </w:pPr>
      <w:r>
        <w:t xml:space="preserve">Нажатие на кнопку «Согласиться» приводит к переходу на подвкладку четвертого шага «Заключение договора». Личный кабинет должен предусматривать два варианта его подписания: </w:t>
      </w:r>
    </w:p>
    <w:p w14:paraId="59000000">
      <w:pPr>
        <w:pStyle w:val="Style_2"/>
        <w:numPr>
          <w:numId w:val="8"/>
        </w:numPr>
      </w:pPr>
      <w:r>
        <w:t xml:space="preserve">Путем загрузки скан-копии подписанного клиентом договора; </w:t>
      </w:r>
    </w:p>
    <w:p w14:paraId="5A000000">
      <w:pPr>
        <w:pStyle w:val="Style_2"/>
        <w:numPr>
          <w:numId w:val="8"/>
        </w:numPr>
      </w:pPr>
      <w:r>
        <w:t xml:space="preserve">Путем подписания договора с использованием усиленной ЭЦП. </w:t>
      </w:r>
    </w:p>
    <w:p w14:paraId="5B000000">
      <w:pPr>
        <w:pStyle w:val="Style_2"/>
      </w:pPr>
    </w:p>
    <w:p w14:paraId="5C000000">
      <w:pPr>
        <w:pStyle w:val="Style_2"/>
      </w:pPr>
      <w:r>
        <w:t xml:space="preserve">По этой причине на четвертом шаге клиенту задается вопрос: есть ли у Вас электронная цифровая подпись?», и две кнопки с вариантами ответов «да» или «нет», нажатие каждой из которых приводит к автоматическому выбору одного из двух вариантов подписания договора. </w:t>
      </w:r>
    </w:p>
    <w:p w14:paraId="5D000000">
      <w:pPr>
        <w:pStyle w:val="Style_2"/>
      </w:pPr>
    </w:p>
    <w:p w14:paraId="5E000000">
      <w:pPr>
        <w:pStyle w:val="Style_2"/>
      </w:pPr>
      <w:r>
        <w:t xml:space="preserve">Если у клиента отсутствует ЭЦП, то на четвертом шаге появляется подробная инструкция о том, что договор нужно распечатать, в каких местах необходимо поставить просто подпись, а в каких – подпись и печать организации; затем качественно его отсканировать, чтобы все страницы были читаемы, не обрезаны и т.п. Далее клиент загружает файл сканированной копии подписанного договора в личный кабинет и нажимает кнопку «далее». Ее нажатие приводит к </w:t>
      </w:r>
      <w:r>
        <w:t xml:space="preserve">созданию в CRM-системе задачи соответствующему сотруднику компании по «проверке правильности подписания договора», </w:t>
      </w:r>
      <w:r>
        <w:t>подготовке счета на оплату аванса в соответствии с условиями договора</w:t>
      </w:r>
      <w:r>
        <w:t xml:space="preserve"> и предоставления ответа клиенту. Отправленный клиентом договор автоматически загружается на сервер в автоматически созданную папку «Договор», которая создается в папке с названием услуги (ранее была создана в основной папке клиента). В окне клиента появляется уведомление, что «договор направлен на проверку юристу, ожидайте ответ» (или что-то в этом роде). Если к договору есть какие-либо замечания, сотрудник нашей компании в CRM-системе описывает, что необходимо исправить, его замечания отражаются в личном кабинете клиента, вновь появляется возможность загрузить файл сканированной копии подписанного договора, который клиент должен загрузить в личный кабинет после внесения исправлений. Данный цикл будет повторяться до тех пор, пока сотрудник нашей компании, ответственный за подписание договора не подтвердит, что с договором все хорошо, и можно продолжать. В этом случае клиент переходит к завершающему, пятому шагу – «Оплата по договору».</w:t>
      </w:r>
    </w:p>
    <w:p w14:paraId="5F000000">
      <w:pPr>
        <w:pStyle w:val="Style_2"/>
      </w:pPr>
    </w:p>
    <w:p w14:paraId="60000000">
      <w:pPr>
        <w:pStyle w:val="Style_2"/>
      </w:pPr>
      <w:r>
        <w:t xml:space="preserve">Если клиент ответил, что у него есть ЭЦП, то на четвертом шаге подписание договора происходит с использованием ЭЦП. Каким образом это должно быть реализовано технически, я не знаю, но в моем понимании у клиента должна быть возможность скачать файл договора (возможно, уже подписанный с нашей стороны при помощи ЭЦП). После чего он по ссылке переходит на сайт специализированного удостоверящего центра, на котором подписывает договор при помощи ЭЦП, скачивает файл в вормате pdf + контейнер с подписью в формате sig, возвращается в личный кабинет, загружает эти файлы и нажимает кнопку «далее». </w:t>
      </w:r>
      <w:r>
        <w:t xml:space="preserve">Ее нажатие приводит к </w:t>
      </w:r>
      <w:r>
        <w:t>созданию в CRM-системе задачи соответствующему сотруднику компании по «проверке правильности подписания договора», подготовке счета на оплату аванса в соответствии с условиями договора и предоставлении ответа клиенту. Отправленный клиентом договор автоматически загружается на сервер в автоматически созданную папку «Договор», которая создается в папке с названием услуги (ранее была создана в основной папке клиента). В окне клиента появляется уведомление, что «договор направлен на проверку юристу, ожидайте ответ» (или что-то в этом роде). Сам договор, но особенно sig-файл, сотрудник нашей компании проверяет (видимо, через какую-то специализированную программу, для этого предназначенную). Если к договору есть какие-либо замечания, сотрудник нашей компании в CRM-системе описывает, что необходимо исправить, его замечания отражаются в личном кабинете клиента, вновь появляется возможность загрузить pdf и sig-файлы подписанного договора, которые клиент должен загрузить в личный кабинет после внесения исправлений. Данный цикл будет повторяться до тех пор, пока сотрудник нашей компании, ответственный за подписание договора не подтвердит, что с договором все хорошо, и можно продолжать. В этом случае клиент переходит к завершающему, пятому шагу – «Оплата по договору».</w:t>
      </w:r>
    </w:p>
    <w:p w14:paraId="61000000">
      <w:pPr>
        <w:pStyle w:val="Style_2"/>
      </w:pPr>
    </w:p>
    <w:p w14:paraId="62000000">
      <w:pPr>
        <w:pStyle w:val="Style_2"/>
      </w:pPr>
      <w:r>
        <w:t xml:space="preserve">Любая работа по оказанию услуг в нашей компании подразумевает предоплату. Если денег на лицевом счету достаточно, услуга оказывается, деньги списываются со счета, далее выставляется акт приема-передачи оказанной услуги. Если денег на счете недостаточно, выставляется счет на сумму, минимально необходимую для оказания услуги (по принципу 100% предоплаты). Соответственно, на пятом шаге клиенту выставляется счет, который может быть оплачен одним из следующих способов: </w:t>
      </w:r>
    </w:p>
    <w:p w14:paraId="63000000">
      <w:pPr>
        <w:pStyle w:val="Style_2"/>
        <w:numPr>
          <w:numId w:val="9"/>
        </w:numPr>
      </w:pPr>
      <w:r>
        <w:t xml:space="preserve">Скачать pdf-файл счета, который появляется в личном кабинете после его загрузки сотрудником нашей компании в CRM-систему, и оплатить данный счет по указанным в нем реквизитом платежным поручением через систему Банк-Клиент-онлайн своего банка; </w:t>
      </w:r>
    </w:p>
    <w:p w14:paraId="64000000">
      <w:pPr>
        <w:pStyle w:val="Style_2"/>
        <w:numPr>
          <w:numId w:val="9"/>
        </w:numPr>
      </w:pPr>
      <w:r>
        <w:t xml:space="preserve">Оплатить счет на сайте через систему интернет-экварийнг банка посредством введения данных карты. </w:t>
      </w:r>
    </w:p>
    <w:p w14:paraId="65000000">
      <w:pPr>
        <w:pStyle w:val="Style_2"/>
      </w:pPr>
    </w:p>
    <w:p w14:paraId="66000000">
      <w:pPr>
        <w:pStyle w:val="Style_2"/>
      </w:pPr>
      <w:r>
        <w:t>После поступления денежных средств на счет нашей компании, в личном кабинете должно отражаться пополнение лицевого счета клиента (он должен видеть это в своем личном кабинете). Пока из нашей бухгалтерской системы не поступила информация в систему личного кабинета о зачислении платежа, в личном кабинете отражается сообщение «Платеж зачисляется, ожидайте» (или что-то в этом роде).</w:t>
      </w:r>
    </w:p>
    <w:p w14:paraId="67000000">
      <w:pPr>
        <w:pStyle w:val="Style_2"/>
      </w:pPr>
    </w:p>
    <w:p w14:paraId="68000000">
      <w:pPr>
        <w:pStyle w:val="Style_2"/>
      </w:pPr>
      <w:r>
        <w:t xml:space="preserve">После этого данная услуга считается заказанной и переносится во вкладку «Действующие услуги», и дальнейшая работа с ней происходит в этой вкладке. Услуге присваивается уникальный номер, по которому в дальнейшем ее можно будет найти в CRM-системе. </w:t>
      </w:r>
    </w:p>
    <w:p w14:paraId="69000000">
      <w:pPr>
        <w:pStyle w:val="Style_2"/>
      </w:pPr>
    </w:p>
    <w:p w14:paraId="6A000000">
      <w:pPr>
        <w:pStyle w:val="Style_2"/>
      </w:pPr>
    </w:p>
    <w:p w14:paraId="6B000000">
      <w:pPr>
        <w:pStyle w:val="Style_2"/>
        <w:rPr>
          <w:b w:val="1"/>
        </w:rPr>
      </w:pPr>
      <w:r>
        <w:rPr>
          <w:b w:val="1"/>
        </w:rPr>
        <w:t>4. СТРАНИЦА «МОИ УСЛУГИ»</w:t>
      </w:r>
    </w:p>
    <w:p w14:paraId="6C000000">
      <w:pPr>
        <w:pStyle w:val="Style_2"/>
      </w:pPr>
    </w:p>
    <w:p w14:paraId="6D000000">
      <w:pPr>
        <w:pStyle w:val="Style_2"/>
      </w:pPr>
      <w:r>
        <w:t xml:space="preserve">Данная страница представляет собой таблицу со следующими столбиками: </w:t>
      </w:r>
    </w:p>
    <w:p w14:paraId="6E000000">
      <w:pPr>
        <w:pStyle w:val="Style_2"/>
        <w:numPr>
          <w:numId w:val="10"/>
        </w:numPr>
      </w:pPr>
      <w:r>
        <w:t xml:space="preserve">Уникальный номер услуги; </w:t>
      </w:r>
    </w:p>
    <w:p w14:paraId="6F000000">
      <w:pPr>
        <w:pStyle w:val="Style_2"/>
        <w:numPr>
          <w:numId w:val="10"/>
        </w:numPr>
      </w:pPr>
      <w:r>
        <w:t xml:space="preserve">Наименование услуги; </w:t>
      </w:r>
    </w:p>
    <w:p w14:paraId="70000000">
      <w:pPr>
        <w:pStyle w:val="Style_2"/>
        <w:numPr>
          <w:numId w:val="10"/>
        </w:numPr>
      </w:pPr>
      <w:r>
        <w:t xml:space="preserve">Дата заключения договора на оказание услуги; </w:t>
      </w:r>
    </w:p>
    <w:p w14:paraId="71000000">
      <w:pPr>
        <w:pStyle w:val="Style_2"/>
        <w:numPr>
          <w:numId w:val="10"/>
        </w:numPr>
      </w:pPr>
      <w:r>
        <w:t>Статус (в работе, требуется оплата, требуется действие клиента, завершено). Статус «требуется оплата» появляется в том случае, если клиенту был выставлен счет. Данный статус фигурирует до момента оплаты счета и поступления на лицевой счет соответствующей суммы. В этом случае статус меняется на «в работе». Если в процессе оказания услуги сотруднику нашей компании для ее качественного оказания что-то требуется от клиента (клиент должен передать доверенность, прислать недостающие документы и т.п.), устанавливается статус «требуется действие клиента». После полного завершения оказания услуги, статус должен меняться на «завершено».</w:t>
      </w:r>
    </w:p>
    <w:p w14:paraId="72000000">
      <w:pPr>
        <w:pStyle w:val="Style_2"/>
      </w:pPr>
    </w:p>
    <w:p w14:paraId="73000000">
      <w:pPr>
        <w:pStyle w:val="Style_2"/>
      </w:pPr>
      <w:r>
        <w:t xml:space="preserve">Каждая строка в таблице подразумевает конкретную услугу, заказанную клиентом, и является активной ссылкой, нажатие на которую приводит к появлению в этом этом же окне, в этой же вкладке подробной информации о ходе ее оказания. Сверху появляется кнопка «назад», нажатие на которую приводит к возврату в таблицу с перечнем заказанных услуг. </w:t>
      </w:r>
    </w:p>
    <w:p w14:paraId="74000000">
      <w:pPr>
        <w:pStyle w:val="Style_2"/>
      </w:pPr>
    </w:p>
    <w:p w14:paraId="75000000">
      <w:pPr>
        <w:pStyle w:val="Style_2"/>
      </w:pPr>
      <w:r>
        <w:t xml:space="preserve">Подробная информация о ходе оказания услуги представляет собой другую таблицу, над которой значится наименование и уникальный номер услуги. Сама таблица состоит из следующих столбиков: </w:t>
      </w:r>
    </w:p>
    <w:p w14:paraId="76000000">
      <w:pPr>
        <w:pStyle w:val="Style_2"/>
        <w:numPr>
          <w:numId w:val="11"/>
        </w:numPr>
      </w:pPr>
      <w:r>
        <w:t>Дата события;</w:t>
      </w:r>
    </w:p>
    <w:p w14:paraId="77000000">
      <w:pPr>
        <w:pStyle w:val="Style_2"/>
        <w:numPr>
          <w:numId w:val="11"/>
        </w:numPr>
      </w:pPr>
      <w:r>
        <w:t>Наименование события;</w:t>
      </w:r>
    </w:p>
    <w:p w14:paraId="78000000">
      <w:pPr>
        <w:pStyle w:val="Style_2"/>
        <w:numPr>
          <w:numId w:val="11"/>
        </w:numPr>
      </w:pPr>
      <w:r>
        <w:t xml:space="preserve">Комментарий юриста; </w:t>
      </w:r>
    </w:p>
    <w:p w14:paraId="79000000">
      <w:pPr>
        <w:pStyle w:val="Style_2"/>
        <w:numPr>
          <w:numId w:val="11"/>
        </w:numPr>
      </w:pPr>
      <w:r>
        <w:t>Прикрепленные файлы с возможностью их скачивания.</w:t>
      </w:r>
    </w:p>
    <w:p w14:paraId="7A000000">
      <w:pPr>
        <w:pStyle w:val="Style_2"/>
        <w:numPr>
          <w:numId w:val="11"/>
        </w:numPr>
      </w:pPr>
      <w:r>
        <w:t xml:space="preserve">Подписать акт или Акт подписан. </w:t>
      </w:r>
    </w:p>
    <w:p w14:paraId="7B000000">
      <w:pPr>
        <w:pStyle w:val="Style_2"/>
      </w:pPr>
    </w:p>
    <w:p w14:paraId="7C000000">
      <w:pPr>
        <w:pStyle w:val="Style_2"/>
      </w:pPr>
      <w:r>
        <w:t xml:space="preserve">События в данной таблице добавляются накопительным итогом (новые события наверху) сотрудниками нашей компании через CRM-систему. Клиент имеет возможность добавлять под событием свои комментарии, задавать вопросы, а наши сотрудники отвечать в комментариях под событием на вопросы и замечания клиента, давать ему необходимые пояснения. Каждое событие представляет собой отдельное юридически значимое событие, за которое предусмотрена оплата (например: консультация, подготовка правового заключения, договора, процессуального документа, участие в судебном заседании и т.п.). </w:t>
      </w:r>
    </w:p>
    <w:p w14:paraId="7D000000">
      <w:pPr>
        <w:pStyle w:val="Style_2"/>
      </w:pPr>
    </w:p>
    <w:p w14:paraId="7E000000">
      <w:pPr>
        <w:pStyle w:val="Style_2"/>
        <w:rPr>
          <w:i w:val="1"/>
        </w:rPr>
      </w:pPr>
      <w:r>
        <w:rPr>
          <w:i w:val="1"/>
          <w:u w:val="single"/>
        </w:rPr>
        <w:t>Разберем работу данного блока на услуге «Взыскание денежных средств по договору займа», которая подразумевает подачу иска в суд и участие в судебных заседаниях.</w:t>
      </w:r>
      <w:r>
        <w:rPr>
          <w:i w:val="1"/>
        </w:rPr>
        <w:t xml:space="preserve"> </w:t>
      </w:r>
    </w:p>
    <w:p w14:paraId="7F000000">
      <w:pPr>
        <w:pStyle w:val="Style_2"/>
        <w:rPr>
          <w:i w:val="1"/>
        </w:rPr>
      </w:pPr>
    </w:p>
    <w:p w14:paraId="80000000">
      <w:pPr>
        <w:pStyle w:val="Style_2"/>
        <w:rPr>
          <w:i w:val="1"/>
        </w:rPr>
      </w:pPr>
      <w:r>
        <w:rPr>
          <w:i w:val="1"/>
        </w:rPr>
        <w:t xml:space="preserve">После заказа услуги, оплаты аванса и перехода ее во вкладку «действующие услуги», ответственный за ее оказание сотрудник нашей компании создает в CRM-системе событие «01_Подготовка иска»; насыщает событие подробным описанием того, что предстоит сделать и в какие сроки клиент может ожидать готовое исковое заявление и переводит его в статус «в работе». В ходе подготовки иска сотрудник нашей компании может обнаружить, что ему не хватает каких-либо документов. Он пишет об этом комментарий и переводит событие в статус «требуется действие клиента». Получить ответ на свой запрос он может в ответном комментарии со стороны клиента, у которого есть возможность прикреплять к нему документы (такие документы автоматически сохраняются в папке на сервере, которая создается в папке с наименованием услуги и наименование которой совпадает с наименованием события. В нашем случае путь к такой папке будет выглядеть так: «ИНН и Наименование клиента» – «Номер и наименование услуги» и в этой папке будут папки «_Договор» и «01_Подготовка иска». В эту папку будут сохраняться все прикрепляемые к событию файлы, как прикрепляемые нами, так и прикрепляемые клиентом. А оставляемые комментарии в виде вордовских файлов с наименованиями «Комментарий клиента от хх.хх.хххх» и «Комменатарий юриста от хх.хх.хххх». </w:t>
      </w:r>
    </w:p>
    <w:p w14:paraId="81000000">
      <w:pPr>
        <w:pStyle w:val="Style_2"/>
        <w:rPr>
          <w:i w:val="1"/>
        </w:rPr>
      </w:pPr>
    </w:p>
    <w:p w14:paraId="82000000">
      <w:pPr>
        <w:pStyle w:val="Style_2"/>
        <w:rPr>
          <w:i w:val="1"/>
        </w:rPr>
      </w:pPr>
      <w:r>
        <w:rPr>
          <w:i w:val="1"/>
        </w:rPr>
        <w:t>Допустим, иск подготовлен, выложен в личный кабинет, согласован с клиентом, все необходимые процессуальные требования для его подачи в суд соблюдены, и он, наконец таки, был героически подан в суд. Соответственно, с этой задачей почти покончено, осталось лишь подписать акт приема-передачи оказанной услуги. В колонке №5 появляется активная ссылка-надпись «Подписать акт», нажатие на которую приводит к скачиванию файла акта приема-передачи оказанной услуги. Сценарий по его подписанию зависит от наличия у клиента ЭЦП (на этот вопрос от отвечал при подписании договора). В общем и целом он мало чем отличается от процесса подписания договора: аналогично, либо клиент распечатывает акт, подписывает его и прикрепляет в личный кабинет его скан-копию; либо после скачивания файла акта, в новой вкладке браузера открывается страница сайта удостоверяющего центра, с помощью которой клиент подписывает акт с использованием ЭЦП и прикрепляет в личный кабинет pdf и sig-файлы подписанного акта. Файлы подписанного акта отправляются сотруднику на проверку, после удачного прохождения которой красная надпись «Подписать акт» с активной ссылкой меняется на зеленую галочку с зеленой надписью «Акт подписан», а активная ссылка удаляется.</w:t>
      </w:r>
    </w:p>
    <w:p w14:paraId="83000000">
      <w:pPr>
        <w:pStyle w:val="Style_2"/>
        <w:rPr>
          <w:i w:val="1"/>
        </w:rPr>
      </w:pPr>
    </w:p>
    <w:p w14:paraId="84000000">
      <w:pPr>
        <w:pStyle w:val="Style_2"/>
        <w:rPr>
          <w:i w:val="1"/>
        </w:rPr>
      </w:pPr>
      <w:r>
        <w:rPr>
          <w:i w:val="1"/>
        </w:rPr>
        <w:t xml:space="preserve">Поступивший в суд иск может быть как принят судом с назначением даты судебного заседания по его рассмотрению, так и оставлен без движения до определенной конкретной даты в случае наличия недочетов, которые до этой даты необходимо устранить. Иногда иск целесообразно подавать с некоторыми нарушениями, чтобы он не был сразу принят, а был изначально оставлен без движения. Допустим, наш иск был оставлен без движения на срок до 30.09.2025. Сотрудник нашей компании видит это в картотеке дел на сайте суда и создает событие «02_Иск оставлен без движения до 30.09.2025». Аналогично, создается папка с таким же названием по следующему пути: </w:t>
      </w:r>
      <w:r>
        <w:rPr>
          <w:i w:val="1"/>
        </w:rPr>
        <w:t xml:space="preserve">«ИНН_Наименование клиента» – «0001_Взыскание денежных средств по договору займа» и в этой папке будут уже папки «_Договор» и «01_Подготовка иска». Теперь к ним добавится папка </w:t>
      </w:r>
      <w:r>
        <w:rPr>
          <w:i w:val="1"/>
        </w:rPr>
        <w:t>«02_Иск оставлен без движения до 30.09.2025».</w:t>
      </w:r>
      <w:r>
        <w:rPr>
          <w:i w:val="1"/>
        </w:rPr>
        <w:t xml:space="preserve"> В эту папку будут сохраняться все прикрепляемые к событию файлы, как прикрепляемые нами, так и прикрепляемые клиентом. А оставляемые комментарии в виде вордовских файлов с наименованиями «Комментарий клиента от хх.хх.хххх» и «Комменатарий юриста от хх.хх.хххх». </w:t>
      </w:r>
    </w:p>
    <w:p w14:paraId="85000000">
      <w:pPr>
        <w:pStyle w:val="Style_2"/>
        <w:rPr>
          <w:i w:val="1"/>
        </w:rPr>
      </w:pPr>
    </w:p>
    <w:p w14:paraId="86000000">
      <w:pPr>
        <w:pStyle w:val="Style_2"/>
        <w:rPr>
          <w:i w:val="1"/>
        </w:rPr>
      </w:pPr>
      <w:r>
        <w:rPr>
          <w:i w:val="1"/>
        </w:rPr>
        <w:t xml:space="preserve">Но так как клиентом при заказе услуги и подписании договора была оплачена только изначальная работа по подготовке иска, сотрудник нашей компании выставляет ему счет на работы по устранению обездвижа, прикрепляет этот счет к событию и меняет статус услуги на «Требуется оплата». Общение с клиентом и обмен документами происходит преимущественно в комментариях под событием. После завершения работ по данному событию, клиенту выставляется акт, а после принятия иска и назначения судебного заседания (СЗ) – создается новое событие посвященное этому СЗ. Суд может бесконечно много раз откладывать рассмотрение иска (спросите об этом Макса, он расскажет, как это бывает), но подготовка позиций и участие в каждом из них стоит денег, поэтому цикл с выставлением актов и счетов повторяется до тех пор, пока мы продолжаем оказывать клиенту услугу. </w:t>
      </w:r>
    </w:p>
    <w:p w14:paraId="87000000">
      <w:pPr>
        <w:pStyle w:val="Style_2"/>
        <w:rPr>
          <w:i w:val="1"/>
        </w:rPr>
      </w:pPr>
    </w:p>
    <w:p w14:paraId="88000000">
      <w:pPr>
        <w:pStyle w:val="Style_2"/>
        <w:rPr>
          <w:i w:val="0"/>
        </w:rPr>
      </w:pPr>
      <w:r>
        <w:rPr>
          <w:i w:val="0"/>
        </w:rPr>
        <w:t xml:space="preserve">Каждое изменение статуса события или услуги, загрузка файла, оставление комментария сопровождается отправкой уведомления на электронную почту по принципу: осуществил изменение клиент – уведомление приходит на почту сотруднику нашей компании; осуществили изменение мы – уведомление приходит на почту сотруднику клиента. </w:t>
      </w:r>
    </w:p>
    <w:p w14:paraId="89000000">
      <w:pPr>
        <w:pStyle w:val="Style_2"/>
        <w:rPr>
          <w:i w:val="1"/>
        </w:rPr>
      </w:pPr>
    </w:p>
    <w:p w14:paraId="8A000000">
      <w:pPr>
        <w:pStyle w:val="Style_2"/>
        <w:rPr>
          <w:i w:val="1"/>
        </w:rPr>
      </w:pPr>
    </w:p>
    <w:p w14:paraId="8B000000">
      <w:pPr>
        <w:pStyle w:val="Style_2"/>
        <w:rPr>
          <w:b w:val="1"/>
          <w:i w:val="0"/>
        </w:rPr>
      </w:pPr>
      <w:r>
        <w:rPr>
          <w:b w:val="1"/>
          <w:i w:val="0"/>
        </w:rPr>
        <w:t xml:space="preserve">5. СТРАНИЦА «АРХИВ» </w:t>
      </w:r>
    </w:p>
    <w:p w14:paraId="8C000000">
      <w:pPr>
        <w:pStyle w:val="Style_2"/>
        <w:rPr>
          <w:i w:val="1"/>
        </w:rPr>
      </w:pPr>
    </w:p>
    <w:p w14:paraId="8D000000">
      <w:pPr>
        <w:pStyle w:val="Style_2"/>
        <w:rPr>
          <w:i w:val="0"/>
        </w:rPr>
      </w:pPr>
      <w:r>
        <w:rPr>
          <w:i w:val="0"/>
        </w:rPr>
        <w:t xml:space="preserve">По завершении всех работ в рамках данной услуги ей присваивается статус «Завершено». Добавлять новые события в нее нет возможности, также отключается возможность оставлять комментарии и прикреплять новые файлы. В эту услугу можно зайти, просмотреть все события, которые в ней происходили, все комментарии и файлы остаются доступными для прочтения и скачивания. С этого момента она носит исключительно информативный характер для клиента. </w:t>
      </w:r>
    </w:p>
    <w:p w14:paraId="8E000000">
      <w:pPr>
        <w:pStyle w:val="Style_2"/>
      </w:pPr>
    </w:p>
    <w:p w14:paraId="8F000000">
      <w:pPr>
        <w:pStyle w:val="Style_2"/>
      </w:pPr>
    </w:p>
    <w:p w14:paraId="90000000">
      <w:pPr>
        <w:pStyle w:val="Style_2"/>
        <w:rPr>
          <w:b w:val="1"/>
        </w:rPr>
      </w:pPr>
      <w:r>
        <w:rPr>
          <w:b w:val="1"/>
        </w:rPr>
        <w:t>6. СТРАНИЦА «ПЕРСОНАЛЬНЫЕ ДАННЫЕ»</w:t>
      </w:r>
    </w:p>
    <w:p w14:paraId="91000000">
      <w:pPr>
        <w:pStyle w:val="Style_2"/>
        <w:rPr>
          <w:b w:val="1"/>
        </w:rPr>
      </w:pPr>
    </w:p>
    <w:p w14:paraId="92000000">
      <w:pPr>
        <w:pStyle w:val="Style_2"/>
      </w:pPr>
      <w:r>
        <w:t>Здесь содержатся следующие данные, которые должны автоматически «подтягиваться» из ЕГРЮЛ/ЕГРИП:</w:t>
      </w:r>
    </w:p>
    <w:p w14:paraId="93000000">
      <w:pPr>
        <w:pStyle w:val="Style_2"/>
        <w:numPr>
          <w:ilvl w:val="0"/>
          <w:numId w:val="12"/>
        </w:numPr>
      </w:pPr>
      <w:r>
        <w:t xml:space="preserve">полное и сокращенное наименование компании / ФИО индивидуального предпринимателя; </w:t>
      </w:r>
    </w:p>
    <w:p w14:paraId="94000000">
      <w:pPr>
        <w:pStyle w:val="Style_2"/>
        <w:numPr>
          <w:ilvl w:val="0"/>
          <w:numId w:val="12"/>
        </w:numPr>
      </w:pPr>
      <w:r>
        <w:t xml:space="preserve">ИНН, КПП, ОГРН/ОГРНИП; </w:t>
      </w:r>
    </w:p>
    <w:p w14:paraId="95000000">
      <w:pPr>
        <w:pStyle w:val="Style_2"/>
        <w:numPr>
          <w:ilvl w:val="0"/>
          <w:numId w:val="12"/>
        </w:numPr>
      </w:pPr>
      <w:r>
        <w:t xml:space="preserve">адрес местонахождения (для ИП вводится вручную клиентом); </w:t>
      </w:r>
    </w:p>
    <w:p w14:paraId="96000000">
      <w:pPr>
        <w:pStyle w:val="Style_2"/>
        <w:numPr>
          <w:ilvl w:val="0"/>
          <w:numId w:val="12"/>
        </w:numPr>
      </w:pPr>
      <w:r>
        <w:t xml:space="preserve">дата присвоения ОГРН: </w:t>
      </w:r>
    </w:p>
    <w:p w14:paraId="97000000">
      <w:pPr>
        <w:pStyle w:val="Style_2"/>
        <w:numPr>
          <w:ilvl w:val="0"/>
          <w:numId w:val="12"/>
        </w:numPr>
      </w:pPr>
      <w:r>
        <w:t xml:space="preserve">ФИО и наименование должности единоличного исполнительного органа (как правило, генерального директора, но эта должность может называться иначе: председатель правления, директор и т.п.); </w:t>
      </w:r>
    </w:p>
    <w:p w14:paraId="98000000">
      <w:pPr>
        <w:pStyle w:val="Style_2"/>
        <w:numPr>
          <w:ilvl w:val="0"/>
          <w:numId w:val="12"/>
        </w:numPr>
      </w:pPr>
      <w:r>
        <w:t>ФИО всех участников (владельцев) компании с указанием размера номинальной стоимости долей и процентов от общего числа долей;</w:t>
      </w:r>
    </w:p>
    <w:p w14:paraId="99000000">
      <w:pPr>
        <w:numPr>
          <w:ilvl w:val="0"/>
          <w:numId w:val="12"/>
        </w:numPr>
      </w:pPr>
      <w:r>
        <w:t>Перечень видов деятельности.</w:t>
      </w:r>
    </w:p>
    <w:p w14:paraId="9A000000">
      <w:pPr>
        <w:pStyle w:val="Style_2"/>
      </w:pPr>
    </w:p>
    <w:p w14:paraId="9B000000">
      <w:pPr>
        <w:pStyle w:val="Style_2"/>
      </w:pPr>
      <w:r>
        <w:t xml:space="preserve">При каждом очередном входе в личный кабинет система проводит автоматическую синхронизацию и проверку актуальности данных сведений в выписке ЕГРЮЛ / ЕГРИП со сведениями в данном разделе личного кабинета. При их несоответствии, в личном кабинете происходит автоматическая корректировка в соответствии с актуальными данными в ЕГРЮЛ / ЕГРИП. Скорректировать данные сведения вручную нельзя. </w:t>
      </w:r>
    </w:p>
    <w:p w14:paraId="9C000000">
      <w:pPr>
        <w:pStyle w:val="Style_2"/>
      </w:pPr>
    </w:p>
    <w:p w14:paraId="9D000000">
      <w:pPr>
        <w:pStyle w:val="Style_2"/>
      </w:pPr>
      <w:r>
        <w:t xml:space="preserve">В случае появления в ЕГРЮЛ отметки о недостоверности сведений об адресе местонахождения клиента или о его единоличном исполнительном органе (генеральном директоре) соответствующие поля загораются красным цветом. </w:t>
      </w:r>
    </w:p>
    <w:p w14:paraId="9E000000">
      <w:pPr>
        <w:pStyle w:val="Style_2"/>
      </w:pPr>
    </w:p>
    <w:p w14:paraId="9F000000">
      <w:pPr>
        <w:pStyle w:val="Style_2"/>
      </w:pPr>
      <w:r>
        <w:t>Также в данном разделе клиент самостоятельно вручную вносит следующую информацию, которую впоследствии может редактировать:</w:t>
      </w:r>
    </w:p>
    <w:p w14:paraId="A0000000">
      <w:pPr>
        <w:pStyle w:val="Style_2"/>
        <w:numPr>
          <w:numId w:val="13"/>
        </w:numPr>
      </w:pPr>
      <w:r>
        <w:t>реквизиты банковского счета (с возможностью добавления нескольких счетов и выбора, какой из них будет являться основным для указания в договоре и других документах);</w:t>
      </w:r>
    </w:p>
    <w:p w14:paraId="A1000000">
      <w:pPr>
        <w:pStyle w:val="Style_2"/>
        <w:numPr>
          <w:numId w:val="13"/>
        </w:numPr>
      </w:pPr>
      <w:r>
        <w:t xml:space="preserve">ФИО одного или нескольких </w:t>
      </w:r>
      <w:r>
        <w:t>(присутствует кнопка «добавить»)</w:t>
      </w:r>
      <w:r>
        <w:t xml:space="preserve"> представителей компании с возможностью прикрепления скан-копии доверенности на него; </w:t>
      </w:r>
    </w:p>
    <w:p w14:paraId="A2000000">
      <w:pPr>
        <w:numPr>
          <w:numId w:val="13"/>
        </w:numPr>
      </w:pPr>
      <w:r>
        <w:t xml:space="preserve">адрес электронной почты, </w:t>
      </w:r>
      <w:r>
        <w:t>мобильный телефон (для двухфакторной аутентификации).</w:t>
      </w:r>
    </w:p>
    <w:p w14:paraId="A3000000">
      <w:pPr>
        <w:pStyle w:val="Style_2"/>
      </w:pPr>
    </w:p>
    <w:p w14:paraId="A4000000">
      <w:pPr>
        <w:pStyle w:val="Style_2"/>
      </w:pPr>
      <w:r>
        <w:t xml:space="preserve">Изменения, производимые клиентом в данном разделе личного кабинета, сохраняются после подтверждения соответствующих действий посредством одноразового пароля, отправляемого клиенту в виде смс-сообщения или посредством письма на электронную почту. </w:t>
      </w:r>
    </w:p>
    <w:p w14:paraId="A5000000">
      <w:pPr>
        <w:pStyle w:val="Style_2"/>
      </w:pPr>
    </w:p>
    <w:p w14:paraId="A6000000">
      <w:pPr>
        <w:pStyle w:val="Style_2"/>
      </w:pPr>
      <w:r>
        <w:t xml:space="preserve">ВАЖНО: Если в ЕГРЮЛ появляется запись о недостоверности сведений о генеральном директоре, то происходят следующие действия: </w:t>
      </w:r>
    </w:p>
    <w:p w14:paraId="A7000000">
      <w:pPr>
        <w:pStyle w:val="Style_2"/>
        <w:numPr>
          <w:numId w:val="14"/>
        </w:numPr>
      </w:pPr>
      <w:r>
        <w:t xml:space="preserve">Данное поле на странице «Персональные данные» выделяется красным цветом; </w:t>
      </w:r>
    </w:p>
    <w:p w14:paraId="A8000000">
      <w:pPr>
        <w:pStyle w:val="Style_2"/>
        <w:numPr>
          <w:numId w:val="14"/>
        </w:numPr>
      </w:pPr>
      <w:r>
        <w:t xml:space="preserve">На главной странице появляется уведомление об этом. </w:t>
      </w:r>
    </w:p>
    <w:p w14:paraId="A9000000">
      <w:pPr>
        <w:pStyle w:val="Style_2"/>
        <w:numPr>
          <w:numId w:val="14"/>
        </w:numPr>
      </w:pPr>
      <w:r>
        <w:t xml:space="preserve">Становится невозможным заказать новую услугу до момента устранения записи о недостоверности генерального директора; </w:t>
      </w:r>
    </w:p>
    <w:p w14:paraId="AA000000">
      <w:pPr>
        <w:pStyle w:val="Style_2"/>
        <w:numPr>
          <w:numId w:val="14"/>
        </w:numPr>
      </w:pPr>
      <w:r>
        <w:t xml:space="preserve">Сотруднику нашей компании в CRM-системе ставится задача о подготовке и отправке в адрес клиента уведомления о приостановке оказания юридических услуг до момента устранения данной отметки в ЕГРЮЛ. </w:t>
      </w:r>
    </w:p>
    <w:p w14:paraId="AB000000">
      <w:pPr>
        <w:pStyle w:val="Style_2"/>
      </w:pPr>
      <w:r>
        <w:t xml:space="preserve"> </w:t>
      </w:r>
    </w:p>
    <w:p w14:paraId="AC000000">
      <w:pPr>
        <w:pStyle w:val="Style_2"/>
      </w:pPr>
    </w:p>
    <w:p w14:paraId="AD000000">
      <w:pPr>
        <w:pStyle w:val="Style_2"/>
      </w:pPr>
    </w:p>
    <w:p w14:paraId="AE000000">
      <w:pPr>
        <w:pStyle w:val="Style_2"/>
      </w:pPr>
    </w:p>
    <w:p w14:paraId="AF000000">
      <w:pPr>
        <w:pStyle w:val="Style_2"/>
      </w:pPr>
    </w:p>
    <w:p w14:paraId="B0000000">
      <w:pPr>
        <w:pStyle w:val="Style_2"/>
      </w:pPr>
    </w:p>
    <w:p w14:paraId="B1000000">
      <w:pPr>
        <w:pStyle w:val="Style_2"/>
      </w:pPr>
    </w:p>
    <w:p w14:paraId="B2000000">
      <w:pPr>
        <w:pStyle w:val="Style_2"/>
      </w:pPr>
    </w:p>
    <w:p w14:paraId="B3000000">
      <w:pPr>
        <w:pStyle w:val="Style_2"/>
      </w:pPr>
    </w:p>
    <w:p w14:paraId="B4000000">
      <w:pPr>
        <w:pStyle w:val="Style_2"/>
      </w:pPr>
    </w:p>
    <w:p w14:paraId="B5000000">
      <w:pPr>
        <w:pStyle w:val="Style_2"/>
      </w:pPr>
    </w:p>
    <w:p w14:paraId="B6000000">
      <w:pPr>
        <w:pStyle w:val="Style_2"/>
      </w:pPr>
    </w:p>
    <w:p w14:paraId="B7000000">
      <w:pPr>
        <w:pStyle w:val="Style_2"/>
      </w:pPr>
    </w:p>
    <w:p w14:paraId="B8000000">
      <w:pPr>
        <w:pStyle w:val="Style_2"/>
      </w:pPr>
    </w:p>
    <w:p w14:paraId="B9000000">
      <w:pPr>
        <w:pStyle w:val="Style_2"/>
      </w:pPr>
    </w:p>
    <w:p w14:paraId="BA000000">
      <w:pPr>
        <w:pStyle w:val="Style_2"/>
      </w:pPr>
    </w:p>
    <w:p w14:paraId="BB000000">
      <w:pPr>
        <w:pStyle w:val="Style_2"/>
      </w:pPr>
    </w:p>
    <w:p w14:paraId="BC000000">
      <w:pPr>
        <w:pStyle w:val="Style_2"/>
      </w:pPr>
    </w:p>
    <w:p w14:paraId="BD000000">
      <w:pPr>
        <w:pStyle w:val="Style_2"/>
      </w:pPr>
    </w:p>
    <w:p w14:paraId="BE000000">
      <w:pPr>
        <w:pStyle w:val="Style_2"/>
      </w:pPr>
    </w:p>
    <w:p w14:paraId="BF000000">
      <w:pPr>
        <w:pStyle w:val="Style_2"/>
      </w:pPr>
    </w:p>
    <w:p w14:paraId="C0000000">
      <w:pPr>
        <w:pStyle w:val="Style_2"/>
      </w:pPr>
    </w:p>
    <w:p w14:paraId="C1000000">
      <w:pPr>
        <w:pStyle w:val="Style_2"/>
      </w:pPr>
    </w:p>
    <w:sectPr>
      <w:footerReference r:id="rId1" w:type="default"/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right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1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2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3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4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5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6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7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8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9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1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12">
    <w:lvl w:ilvl="0">
      <w:start w:val="1"/>
      <w:numFmt w:val="lowerLett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lowerLett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lowerLett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abstractNum w:abstractNumId="13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2025-09-01T10:02:30Z</dcterms:modified>
</cp:coreProperties>
</file>